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Evidence to action brief</w:t>
      </w:r>
    </w:p>
    <w:p>
      <w:r>
        <w:t>Turn a people question into a documented decision, a proportionate pilot and a reviewable outcome.</w:t>
      </w:r>
    </w:p>
    <w:p>
      <w:pPr>
        <w:pStyle w:val="Heading1"/>
      </w:pPr>
      <w:r>
        <w:t>Question and decision</w:t>
      </w:r>
    </w:p>
    <w:p>
      <w:r>
        <w:t>[Question, affected population and deadline]</w:t>
        <w:br/>
        <w:t>[Decision owner and available choices]</w:t>
        <w:br/>
        <w:t>[What evidence would change our preferred answer?]</w:t>
      </w:r>
    </w:p>
    <w:p>
      <w:pPr>
        <w:pStyle w:val="Heading1"/>
      </w:pPr>
      <w:r>
        <w:t>Evidence and uncertainty</w:t>
      </w:r>
    </w:p>
    <w:p>
      <w:r>
        <w:t>[Source, date, definition and finding]</w:t>
        <w:br/>
        <w:t>[Research, local data, experience and employee perspectives considered]</w:t>
        <w:br/>
        <w:t>[Contradictory evidence, missing information and alternative explanations]</w:t>
        <w:br/>
        <w:t>[Privacy and access checks; use aggregate information here]</w:t>
      </w:r>
    </w:p>
    <w:p>
      <w:pPr>
        <w:pStyle w:val="Heading1"/>
      </w:pPr>
      <w:r>
        <w:t>Action and evaluation</w:t>
      </w:r>
    </w:p>
    <w:p>
      <w:r>
        <w:t>[Proposed action, mechanism, owner and resources]</w:t>
        <w:br/>
        <w:t>[Outcome, baseline, comparison and observation window]</w:t>
        <w:br/>
        <w:t>[Delivery check and potential unintended effects]</w:t>
        <w:br/>
        <w:t>[Review date; continue, modify or stop criteria]</w:t>
      </w:r>
    </w:p>
    <w:p>
      <w:r>
        <w:br w:type="page"/>
      </w:r>
    </w:p>
    <w:p>
      <w:pPr>
        <w:pStyle w:val="Title"/>
      </w:pPr>
      <w:r>
        <w:t>Using this worksheet</w:t>
      </w:r>
    </w:p>
    <w:p>
      <w:r>
        <w:t>Complete the prompts together with the person who owns the decision. Keep the completed brief proportionate, date it and return to it at the review. This is a planning aid, not a legal compliance checklist.</w:t>
      </w:r>
    </w:p>
    <w:p>
      <w:pPr>
        <w:pStyle w:val="ListBullet"/>
      </w:pPr>
      <w:r>
        <w:t>Define the population, denominator and time window before comparing figures.</w:t>
      </w:r>
    </w:p>
    <w:p>
      <w:pPr>
        <w:pStyle w:val="ListBullet"/>
      </w:pPr>
      <w:r>
        <w:t>Separate the observed result from your explanation and recommendation.</w:t>
      </w:r>
    </w:p>
    <w:p>
      <w:pPr>
        <w:pStyle w:val="ListBullet"/>
      </w:pPr>
      <w:r>
        <w:t>Use only necessary information; keep identifiable records in approved systems.</w:t>
      </w:r>
    </w:p>
    <w:p>
      <w:pPr>
        <w:pStyle w:val="ListBullet"/>
      </w:pPr>
      <w:r>
        <w:t>Plan how to review the action before rollout, and state any limits on causal conclusions.</w:t>
      </w:r>
    </w:p>
    <w:p>
      <w:pPr>
        <w:pStyle w:val="Heading1"/>
      </w:pPr>
      <w:r>
        <w:t>Worked illustration</w:t>
      </w:r>
    </w:p>
    <w:p>
      <w:r>
        <w:t>Illustration only: 12 exits among 40 starters is 30%; 6 among 40 is 15%. The difference is 15 percentage points. Different roles, seasons or shift availability could explain it. Do not attribute the change to an intervention without a suitable evaluation.</w:t>
      </w:r>
    </w:p>
    <w:p>
      <w:pPr>
        <w:pStyle w:val="Heading1"/>
      </w:pPr>
      <w:r>
        <w:t>Further reading and attribution</w:t>
      </w:r>
    </w:p>
    <w:p>
      <w:r>
        <w:t>An original ADM HR worksheet with original prompts and an invented example. The linked resources are further reading; this is not a reproduction of a CIPD or AIHR template and is not endorsed by either organisation.</w:t>
      </w:r>
    </w:p>
    <w:p>
      <w:r>
        <w:t>ADM HR guide</w:t>
        <w:br/>
        <w:t>https://hr.adm.ai/guides/people-analytics-playbook/</w:t>
      </w:r>
    </w:p>
    <w:p>
      <w:r>
        <w:t>Further reading</w:t>
        <w:br/>
        <w:t>https://www.cipd.org/uk/knowledge/factsheets/evidence-based-practice-factsheet/</w:t>
      </w:r>
    </w:p>
    <w:p>
      <w:r>
        <w:t>Additional reference</w:t>
        <w:br/>
        <w:t>https://www.aihr.com/blog/hr-as-a-strategic-partner/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584" w:right="1152" w:bottom="1008" w:left="1152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ADM HR  |  hr.adm.ai  |  Original worksheet  |  v1.0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drawing>
        <wp:inline xmlns:a="http://schemas.openxmlformats.org/drawingml/2006/main" xmlns:pic="http://schemas.openxmlformats.org/drawingml/2006/picture">
          <wp:extent cx="2651760" cy="579224"/>
          <wp:docPr id="1" name="Picture 1" descr="ADM HR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dm-hr-logo-cropp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51760" cy="57922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Segoe UI" w:hAnsi="Segoe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egoe UI" w:hAnsi="Segoe U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to action brief</dc:title>
  <dc:subject/>
  <dc:creator>ADM 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