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Written warning outcome</w:t>
      </w:r>
    </w:p>
    <w:p>
      <w:r/>
      <w:r>
        <w:rPr>
          <w:color w:val="285E4B"/>
        </w:rPr>
        <w:t>[Date]</w:t>
      </w:r>
      <w:r/>
    </w:p>
    <w:p>
      <w:r>
        <w:t xml:space="preserve">Dear </w:t>
      </w:r>
      <w:r>
        <w:rPr>
          <w:color w:val="285E4B"/>
        </w:rPr>
        <w:t>[employee name]</w:t>
      </w:r>
      <w:r>
        <w:t>,</w:t>
      </w:r>
    </w:p>
    <w:p>
      <w:r>
        <w:t xml:space="preserve">Following the disciplinary hearing on </w:t>
      </w:r>
      <w:r>
        <w:rPr>
          <w:color w:val="285E4B"/>
        </w:rPr>
        <w:t>[date]</w:t>
      </w:r>
      <w:r>
        <w:t xml:space="preserve">, I have decided to issue a </w:t>
      </w:r>
      <w:r>
        <w:rPr>
          <w:color w:val="285E4B"/>
        </w:rPr>
        <w:t>[first written warning / final written warning]</w:t>
      </w:r>
      <w:r>
        <w:t>.</w:t>
      </w:r>
    </w:p>
    <w:p>
      <w:r>
        <w:t xml:space="preserve">The findings are </w:t>
      </w:r>
      <w:r>
        <w:rPr>
          <w:color w:val="285E4B"/>
        </w:rPr>
        <w:t>[explain the findings on each matter]</w:t>
      </w:r>
      <w:r>
        <w:t xml:space="preserve">. My reasons, including consideration of your response and relevant mitigation, are </w:t>
      </w:r>
      <w:r>
        <w:rPr>
          <w:color w:val="285E4B"/>
        </w:rPr>
        <w:t>[give reasons]</w:t>
      </w:r>
      <w:r>
        <w:t>.</w:t>
      </w:r>
    </w:p>
    <w:p>
      <w:r>
        <w:t xml:space="preserve">The improvement required is </w:t>
      </w:r>
      <w:r>
        <w:rPr>
          <w:color w:val="285E4B"/>
        </w:rPr>
        <w:t>[describe specific conduct or performance expectations]</w:t>
      </w:r>
      <w:r>
        <w:t xml:space="preserve">. This must be achieved by </w:t>
      </w:r>
      <w:r>
        <w:rPr>
          <w:color w:val="285E4B"/>
        </w:rPr>
        <w:t>[date or timescale]</w:t>
      </w:r>
      <w:r>
        <w:t xml:space="preserve">. We will provide </w:t>
      </w:r>
      <w:r>
        <w:rPr>
          <w:color w:val="285E4B"/>
        </w:rPr>
        <w:t>[support or training]</w:t>
      </w:r>
      <w:r>
        <w:t xml:space="preserve"> and review progress on </w:t>
      </w:r>
      <w:r>
        <w:rPr>
          <w:color w:val="285E4B"/>
        </w:rPr>
        <w:t>[dates]</w:t>
      </w:r>
      <w:r>
        <w:t>.</w:t>
      </w:r>
    </w:p>
    <w:p>
      <w:r>
        <w:t xml:space="preserve">The warning will remain current for disciplinary purposes until </w:t>
      </w:r>
      <w:r>
        <w:rPr>
          <w:color w:val="285E4B"/>
        </w:rPr>
        <w:t>[date]</w:t>
      </w:r>
      <w:r>
        <w:t xml:space="preserve">, in accordance with </w:t>
      </w:r>
      <w:r>
        <w:rPr>
          <w:color w:val="285E4B"/>
        </w:rPr>
        <w:t>[relevant policy]</w:t>
      </w:r>
      <w:r>
        <w:t xml:space="preserve">. </w:t>
      </w:r>
      <w:r>
        <w:rPr>
          <w:color w:val="285E4B"/>
        </w:rPr>
        <w:t>[Explain what happens to the record after that date under the applicable policy.]</w:t>
      </w:r>
      <w:r/>
    </w:p>
    <w:p>
      <w:r>
        <w:t xml:space="preserve">Further misconduct or insufficient improvement may lead to a further disciplinary process and </w:t>
      </w:r>
      <w:r>
        <w:rPr>
          <w:color w:val="285E4B"/>
        </w:rPr>
        <w:t>[state the appropriate possible consequence]</w:t>
      </w:r>
      <w:r>
        <w:t>. Any further decision will depend on the circumstances and a fair process.</w:t>
      </w:r>
    </w:p>
    <w:p>
      <w:r>
        <w:t xml:space="preserve">You may appeal in writing to </w:t>
      </w:r>
      <w:r>
        <w:rPr>
          <w:color w:val="285E4B"/>
        </w:rPr>
        <w:t>[name, role and contact details]</w:t>
      </w:r>
      <w:r>
        <w:t xml:space="preserve">, explaining your grounds, by </w:t>
      </w:r>
      <w:r>
        <w:rPr>
          <w:color w:val="285E4B"/>
        </w:rPr>
        <w:t>[date or policy timescale]</w:t>
      </w:r>
      <w:r>
        <w:t xml:space="preserve">. If you need help accessing the appeal process or wish to discuss the timescale, contact </w:t>
      </w:r>
      <w:r>
        <w:rPr>
          <w:color w:val="285E4B"/>
        </w:rPr>
        <w:t>[name]</w:t>
      </w:r>
      <w:r>
        <w:t>.</w:t>
      </w:r>
    </w:p>
    <w:p>
      <w:r>
        <w:t>Yours sincerely,</w:t>
        <w:br/>
      </w:r>
      <w:r>
        <w:rPr>
          <w:color w:val="285E4B"/>
        </w:rPr>
        <w:t>[Decision-maker name]</w:t>
      </w:r>
      <w:r>
        <w:br/>
      </w:r>
      <w:r>
        <w:rPr>
          <w:color w:val="285E4B"/>
        </w:rPr>
        <w:t>[Job title and organisation]</w:t>
      </w:r>
      <w:r/>
    </w:p>
    <w:p>
      <w:r>
        <w:br w:type="page"/>
      </w:r>
    </w:p>
    <w:p>
      <w:pPr>
        <w:pStyle w:val="Title"/>
      </w:pPr>
      <w:r>
        <w:t>Using this template</w:t>
      </w:r>
    </w:p>
    <w:p>
      <w:r>
        <w:t>Confirm a first or final written warning, required improvement, support and the appeal route.</w:t>
      </w:r>
    </w:p>
    <w:p>
      <w:pPr>
        <w:pStyle w:val="Heading1"/>
      </w:pPr>
      <w:r>
        <w:t>Before you send</w:t>
      </w:r>
    </w:p>
    <w:p>
      <w:r>
        <w:t>Complete every bracketed field, choose the applicable options and remove unused text. Check the facts, policy and current guidance. Remove this guidance page from the recipient’s copy. Keep the source acknowledgement when sharing the template.</w:t>
      </w:r>
    </w:p>
    <w:p>
      <w:r>
        <w:t>1. Complete only after a fair process and consideration of the employee’s response. A template does not determine the appropriate sanction.</w:t>
      </w:r>
    </w:p>
    <w:p>
      <w:r>
        <w:t>2. Specify expectations, support, review points and warning duration. Select a consequence consistent with the warning level and policy.</w:t>
      </w:r>
    </w:p>
    <w:p>
      <w:r>
        <w:t>3. Insert the actual appeal route and reasonable policy timescale. The Acas example’s suggested period is not a universal statutory deadline.</w:t>
      </w:r>
    </w:p>
    <w:p>
      <w:pPr>
        <w:pStyle w:val="Heading1"/>
      </w:pPr>
      <w:r>
        <w:t>Source and adaptation</w:t>
      </w:r>
    </w:p>
    <w:p>
      <w:hyperlink r:id="rId11">
        <w:r>
          <w:rPr>
            <w:color w:val="285e4b"/>
            <w:sz w:val="22"/>
          </w:rPr>
          <w:t>Original Acas template</w:t>
        </w:r>
      </w:hyperlink>
      <w:r>
        <w:t xml:space="preserve">  |  Source updated 2024-11-18</w:t>
      </w:r>
    </w:p>
    <w:p>
      <w:hyperlink r:id="rId12">
        <w:r>
          <w:rPr>
            <w:color w:val="285e4b"/>
            <w:sz w:val="22"/>
          </w:rPr>
          <w:t>Relevant Acas guidance</w:t>
        </w:r>
      </w:hyperlink>
      <w:r>
        <w:t xml:space="preserve">  |  Checked 26 September 2026</w:t>
      </w:r>
    </w:p>
    <w:p>
      <w:r>
        <w:t>Added reasoned findings, mitigation, support and review prompts. Replaced a suggested fixed appeal period with the organisation’s applicable timescale and a contact route.</w:t>
      </w:r>
    </w:p>
    <w:p>
      <w:r>
        <w:t xml:space="preserve">Contains public sector information licensed under the </w:t>
      </w:r>
      <w:hyperlink r:id="rId13">
        <w:r>
          <w:rPr>
            <w:color w:val="285e4b"/>
            <w:sz w:val="22"/>
          </w:rPr>
          <w:t>Open Government Licence v3.0</w:t>
        </w:r>
      </w:hyperlink>
      <w:r>
        <w:t>. Acas source material is Crown copyright. ADM HR branding and editorial additions are independent; Acas has not endorsed this version.</w:t>
      </w:r>
    </w:p>
    <w:p>
      <w:pPr>
        <w:pStyle w:val="Heading1"/>
      </w:pPr>
      <w:r>
        <w:t>Scope and further reading</w:t>
      </w:r>
    </w:p>
    <w:p>
      <w:r>
        <w:t>For use as a starting point in Great Britain. Check Northern Ireland requirements separately. This editable letter supports a process; it does not establish that a decision is fair or legally compliant. Obtain suitable advice for the circumstances where needed.</w:t>
      </w:r>
    </w:p>
    <w:p>
      <w:hyperlink r:id="rId14">
        <w:r>
          <w:rPr>
            <w:color w:val="285e4b"/>
            <w:sz w:val="22"/>
          </w:rPr>
          <w:t>Read the related ADM HR guide</w:t>
        </w:r>
      </w:hyperlink>
    </w:p>
    <w:sectPr w:rsidR="00FC693F" w:rsidRPr="0006063C" w:rsidSect="00034616">
      <w:headerReference w:type="default" r:id="rId9"/>
      <w:footerReference w:type="default" r:id="rId10"/>
      <w:pgSz w:w="12240" w:h="15840"/>
      <w:pgMar w:top="1627"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ADM HR  |  hr.adm.ai  |  v1.0  |  </w:t>
    </w:r>
    <w:fldSimple w:instr="PAGE">
      <w:r>
        <w:rPr>
          <w:sz w:val="16"/>
        </w:rPr>
        <w:t>1</w:t>
      </w:r>
    </w:fldSimple>
  </w:p>
  <w:p>
    <w:pPr>
      <w:spacing w:after="0"/>
    </w:pPr>
    <w:r>
      <w:rPr>
        <w:sz w:val="16"/>
      </w:rPr>
      <w:t xml:space="preserve">Adapted from Acas. Crown copyright. </w:t>
    </w:r>
    <w:hyperlink r:id="rId1">
      <w:r>
        <w:rPr>
          <w:color w:val="285e4b"/>
          <w:sz w:val="16"/>
        </w:rPr>
        <w:t>OGL v3.0</w:t>
      </w:r>
    </w:hyperlink>
    <w:r>
      <w:rPr>
        <w:sz w:val="16"/>
      </w:rPr>
      <w:t xml:space="preserve">  |  Not endorsed by Acas.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3291840" cy="603504"/>
          <wp:docPr id="1" name="Picture 1" descr="ADM HR logo and The people &amp; work library"/>
          <wp:cNvGraphicFramePr>
            <a:graphicFrameLocks noChangeAspect="1"/>
          </wp:cNvGraphicFramePr>
          <a:graphic>
            <a:graphicData uri="http://schemas.openxmlformats.org/drawingml/2006/picture">
              <pic:pic>
                <pic:nvPicPr>
                  <pic:cNvPr id="0" name="adm-hr-logo.png"/>
                  <pic:cNvPicPr/>
                </pic:nvPicPr>
                <pic:blipFill>
                  <a:blip r:embed="rId1"/>
                  <a:stretch>
                    <a:fillRect/>
                  </a:stretch>
                </pic:blipFill>
                <pic:spPr>
                  <a:xfrm>
                    <a:off x="0" y="0"/>
                    <a:ext cx="3291840" cy="6035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Segoe UI" w:hAnsi="Segoe UI"/>
      <w:color w:val="202E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outlineLvl w:val="0"/>
    </w:pPr>
    <w:rPr>
      <w:rFonts w:asciiTheme="majorHAnsi" w:eastAsiaTheme="majorEastAsia" w:hAnsiTheme="majorHAnsi" w:cstheme="majorBidi" w:ascii="Segoe UI" w:hAnsi="Segoe U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60"/>
      <w:outlineLvl w:val="1"/>
    </w:pPr>
    <w:rPr>
      <w:rFonts w:asciiTheme="majorHAnsi" w:eastAsiaTheme="majorEastAsia" w:hAnsiTheme="majorHAnsi" w:cstheme="majorBidi" w:ascii="Segoe UI" w:hAnsi="Segoe U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180"/>
      <w:contextualSpacing/>
    </w:pPr>
    <w:rPr>
      <w:rFonts w:asciiTheme="majorHAnsi" w:eastAsiaTheme="majorEastAsia" w:hAnsiTheme="majorHAnsi" w:cstheme="majorBidi" w:ascii="Segoe UI" w:hAnsi="Segoe U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cas.org.uk/disciplinary-outcome-letter-templates/notice-of-disciplinary-outcome-letter-template-warning" TargetMode="External"/><Relationship Id="rId12" Type="http://schemas.openxmlformats.org/officeDocument/2006/relationships/hyperlink" Target="https://www.acas.org.uk/acas-code-of-practice-on-disciplinary-and-grievance-procedures/html" TargetMode="External"/><Relationship Id="rId13" Type="http://schemas.openxmlformats.org/officeDocument/2006/relationships/hyperlink" Target="https://www.nationalarchives.gov.uk/doc/open-government-licence/version/3/" TargetMode="External"/><Relationship Id="rId14" Type="http://schemas.openxmlformats.org/officeDocument/2006/relationships/hyperlink" Target="https://hr.adm.ai/guides/discipline-grievanc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nationalarchives.gov.uk/doc/open-government-licence/version/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warning outcome</dc:title>
  <dc:subject>ADM HR template library</dc:subject>
  <dc:creator>ADM HR — adapted from Acas</dc:creator>
  <cp:keywords>Acas, HR, letter, editable template</cp:keywords>
  <dc:description>generated by python-docx</dc:description>
  <cp:lastModifiedBy/>
  <cp:revision>1</cp:revision>
  <dcterms:created xsi:type="dcterms:W3CDTF">2013-12-23T23:15:00Z</dcterms:created>
  <dcterms:modified xsi:type="dcterms:W3CDTF">2013-12-23T23:15:00Z</dcterms:modified>
  <cp:category/>
</cp:coreProperties>
</file>