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Disciplinary hearing invitation</w:t>
      </w:r>
    </w:p>
    <w:p>
      <w:r/>
      <w:r>
        <w:rPr>
          <w:color w:val="285E4B"/>
        </w:rPr>
        <w:t>[Date]</w:t>
      </w:r>
      <w:r/>
    </w:p>
    <w:p>
      <w:r>
        <w:t xml:space="preserve">Dear </w:t>
      </w:r>
      <w:r>
        <w:rPr>
          <w:color w:val="285E4B"/>
        </w:rPr>
        <w:t>[employee name]</w:t>
      </w:r>
      <w:r>
        <w:t>,</w:t>
      </w:r>
    </w:p>
    <w:p>
      <w:r>
        <w:t xml:space="preserve">You are invited to a disciplinary hearing on </w:t>
      </w:r>
      <w:r>
        <w:rPr>
          <w:color w:val="285E4B"/>
        </w:rPr>
        <w:t>[date]</w:t>
      </w:r>
      <w:r>
        <w:t xml:space="preserve"> at </w:t>
      </w:r>
      <w:r>
        <w:rPr>
          <w:color w:val="285E4B"/>
        </w:rPr>
        <w:t>[time]</w:t>
      </w:r>
      <w:r>
        <w:t xml:space="preserve">, at </w:t>
      </w:r>
      <w:r>
        <w:rPr>
          <w:color w:val="285E4B"/>
        </w:rPr>
        <w:t>[location or secure meeting link]</w:t>
      </w:r>
      <w:r>
        <w:t xml:space="preserve">, under </w:t>
      </w:r>
      <w:r>
        <w:rPr>
          <w:color w:val="285E4B"/>
        </w:rPr>
        <w:t>[organisation]</w:t>
      </w:r>
      <w:r>
        <w:t>’s disciplinary procedure.</w:t>
      </w:r>
    </w:p>
    <w:p>
      <w:r>
        <w:t xml:space="preserve">The matters to be considered are </w:t>
      </w:r>
      <w:r>
        <w:rPr>
          <w:color w:val="285E4B"/>
        </w:rPr>
        <w:t>[set out each allegation or performance concern, with relevant details and dates]</w:t>
      </w:r>
      <w:r>
        <w:t xml:space="preserve">. The possible outcomes include </w:t>
      </w:r>
      <w:r>
        <w:rPr>
          <w:color w:val="285E4B"/>
        </w:rPr>
        <w:t>[specify the first or final written warning being considered]</w:t>
      </w:r>
      <w:r>
        <w:t>. No decision has been made.</w:t>
      </w:r>
    </w:p>
    <w:p>
      <w:r>
        <w:t xml:space="preserve">Enclosed are </w:t>
      </w:r>
      <w:r>
        <w:rPr>
          <w:color w:val="285E4B"/>
        </w:rPr>
        <w:t>[list the evidence and relevant procedure]</w:t>
      </w:r>
      <w:r>
        <w:t xml:space="preserve">. You will have an opportunity to respond, ask questions, present evidence and identify relevant witnesses. Please contact </w:t>
      </w:r>
      <w:r>
        <w:rPr>
          <w:color w:val="285E4B"/>
        </w:rPr>
        <w:t>[name]</w:t>
      </w:r>
      <w:r>
        <w:t xml:space="preserve"> about any further information you need to prepare.</w:t>
      </w:r>
    </w:p>
    <w:p>
      <w:r>
        <w:t xml:space="preserve">The hearing will be chaired by </w:t>
      </w:r>
      <w:r>
        <w:rPr>
          <w:color w:val="285E4B"/>
        </w:rPr>
        <w:t>[name and role]</w:t>
      </w:r>
      <w:r>
        <w:t xml:space="preserve">, with </w:t>
      </w:r>
      <w:r>
        <w:rPr>
          <w:color w:val="285E4B"/>
        </w:rPr>
        <w:t>[name and role]</w:t>
      </w:r>
      <w:r>
        <w:t xml:space="preserve"> taking notes.</w:t>
      </w:r>
    </w:p>
    <w:p>
      <w:r>
        <w:t>You have the right to be accompanied by a fellow worker, an employed trade union official, or a trade union representative certified by their union as competent to accompany you. Please let us know your chosen companion when possible.</w:t>
      </w:r>
    </w:p>
    <w:p>
      <w:r>
        <w:t xml:space="preserve">If you or your companion cannot attend, or you need adjustments, contact </w:t>
      </w:r>
      <w:r>
        <w:rPr>
          <w:color w:val="285E4B"/>
        </w:rPr>
        <w:t>[name, email and telephone]</w:t>
      </w:r>
      <w:r>
        <w:t xml:space="preserve"> promptly so that we can discuss the arrangements.</w:t>
      </w:r>
    </w:p>
    <w:p>
      <w:r>
        <w:t>Yours sincerely,</w:t>
        <w:br/>
      </w:r>
      <w:r>
        <w:rPr>
          <w:color w:val="285E4B"/>
        </w:rPr>
        <w:t>[Manager name]</w:t>
      </w:r>
      <w:r>
        <w:br/>
      </w:r>
      <w:r>
        <w:rPr>
          <w:color w:val="285E4B"/>
        </w:rPr>
        <w:t>[Job title and organisation]</w:t>
      </w:r>
      <w:r/>
    </w:p>
    <w:p>
      <w:r>
        <w:br w:type="page"/>
      </w:r>
    </w:p>
    <w:p>
      <w:pPr>
        <w:pStyle w:val="Title"/>
      </w:pPr>
      <w:r>
        <w:t>Using this template</w:t>
      </w:r>
    </w:p>
    <w:p>
      <w:r>
        <w:t>Arrange a disciplinary hearing where a first or final written warning is a possible outcome.</w:t>
      </w:r>
    </w:p>
    <w:p>
      <w:pPr>
        <w:pStyle w:val="Heading1"/>
      </w:pPr>
      <w:r>
        <w:t>Before you send</w:t>
      </w:r>
    </w:p>
    <w:p>
      <w:r>
        <w:t>Complete every bracketed field, choose the applicable options and remove unused text. Check the facts, policy and current guidance. Remove this guidance page from the recipient’s copy. Keep the source acknowledgement when sharing the template.</w:t>
      </w:r>
    </w:p>
    <w:p>
      <w:r>
        <w:t>1. Use only where a warning is contemplated. Do not use this version for a hearing where dismissal is a possible outcome.</w:t>
      </w:r>
    </w:p>
    <w:p>
      <w:r>
        <w:t>2. Identify the concerns and potential consequences clearly, supply relevant evidence and allow reasonable preparation.</w:t>
      </w:r>
    </w:p>
    <w:p>
      <w:r>
        <w:t>3. A request for a companion does not have to meet an arbitrary advance deadline. Consider postponement requests under the current Code and guidance.</w:t>
      </w:r>
    </w:p>
    <w:p>
      <w:pPr>
        <w:pStyle w:val="Heading1"/>
      </w:pPr>
      <w:r>
        <w:t>Source and adaptation</w:t>
      </w:r>
    </w:p>
    <w:p>
      <w:hyperlink r:id="rId11">
        <w:r>
          <w:rPr>
            <w:color w:val="285e4b"/>
            <w:sz w:val="22"/>
          </w:rPr>
          <w:t>Original Acas template</w:t>
        </w:r>
      </w:hyperlink>
      <w:r>
        <w:t xml:space="preserve">  |  Source updated 2025-02-06</w:t>
      </w:r>
    </w:p>
    <w:p>
      <w:hyperlink r:id="rId12">
        <w:r>
          <w:rPr>
            <w:color w:val="285e4b"/>
            <w:sz w:val="22"/>
          </w:rPr>
          <w:t>Relevant Acas guidance</w:t>
        </w:r>
      </w:hyperlink>
      <w:r>
        <w:t xml:space="preserve">  |  Checked 26 September 2026</w:t>
      </w:r>
    </w:p>
    <w:p>
      <w:r>
        <w:t>Expanded preparation and attendance details, clarified companion categories and removed a fixed advance notification deadline. Added an explicit statement that no decision has been made.</w:t>
      </w:r>
    </w:p>
    <w:p>
      <w:r>
        <w:t xml:space="preserve">Contains public sector information licensed under the </w:t>
      </w:r>
      <w:hyperlink r:id="rId13">
        <w:r>
          <w:rPr>
            <w:color w:val="285e4b"/>
            <w:sz w:val="22"/>
          </w:rPr>
          <w:t>Open Government Licence v3.0</w:t>
        </w:r>
      </w:hyperlink>
      <w:r>
        <w:t>. Acas source material is Crown copyright. ADM HR branding and editorial additions are independent; Acas has not endorsed this version.</w:t>
      </w:r>
    </w:p>
    <w:p>
      <w:pPr>
        <w:pStyle w:val="Heading1"/>
      </w:pPr>
      <w:r>
        <w:t>Scope and further reading</w:t>
      </w:r>
    </w:p>
    <w:p>
      <w:r>
        <w:t>For use as a starting point in Great Britain. Check Northern Ireland requirements separately. This editable letter supports a process; it does not establish that a decision is fair or legally compliant. Obtain suitable advice for the circumstances where needed.</w:t>
      </w:r>
    </w:p>
    <w:p>
      <w:hyperlink r:id="rId14">
        <w:r>
          <w:rPr>
            <w:color w:val="285e4b"/>
            <w:sz w:val="22"/>
          </w:rPr>
          <w:t>Read the related ADM HR guide</w:t>
        </w:r>
      </w:hyperlink>
    </w:p>
    <w:sectPr w:rsidR="00FC693F" w:rsidRPr="0006063C" w:rsidSect="00034616">
      <w:headerReference w:type="default" r:id="rId9"/>
      <w:footerReference w:type="default" r:id="rId10"/>
      <w:pgSz w:w="12240" w:h="15840"/>
      <w:pgMar w:top="162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ADM HR  |  hr.adm.ai  |  v1.0  |  </w:t>
    </w:r>
    <w:fldSimple w:instr="PAGE">
      <w:r>
        <w:rPr>
          <w:sz w:val="16"/>
        </w:rPr>
        <w:t>1</w:t>
      </w:r>
    </w:fldSimple>
  </w:p>
  <w:p>
    <w:pPr>
      <w:spacing w:after="0"/>
    </w:pPr>
    <w:r>
      <w:rPr>
        <w:sz w:val="16"/>
      </w:rPr>
      <w:t xml:space="preserve">Adapted from Acas. Crown copyright. </w:t>
    </w:r>
    <w:hyperlink r:id="rId1">
      <w:r>
        <w:rPr>
          <w:color w:val="285e4b"/>
          <w:sz w:val="16"/>
        </w:rPr>
        <w:t>OGL v3.0</w:t>
      </w:r>
    </w:hyperlink>
    <w:r>
      <w:rPr>
        <w:sz w:val="16"/>
      </w:rPr>
      <w:t xml:space="preserve">  |  Not endorsed by Acas.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291840" cy="603504"/>
          <wp:docPr id="1" name="Picture 1" descr="ADM HR logo and The people &amp; work library"/>
          <wp:cNvGraphicFramePr>
            <a:graphicFrameLocks noChangeAspect="1"/>
          </wp:cNvGraphicFramePr>
          <a:graphic>
            <a:graphicData uri="http://schemas.openxmlformats.org/drawingml/2006/picture">
              <pic:pic>
                <pic:nvPicPr>
                  <pic:cNvPr id="0" name="adm-hr-logo.png"/>
                  <pic:cNvPicPr/>
                </pic:nvPicPr>
                <pic:blipFill>
                  <a:blip r:embed="rId1"/>
                  <a:stretch>
                    <a:fillRect/>
                  </a:stretch>
                </pic:blipFill>
                <pic:spPr>
                  <a:xfrm>
                    <a:off x="0" y="0"/>
                    <a:ext cx="3291840" cy="6035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Segoe UI" w:hAnsi="Segoe UI"/>
      <w:color w:val="202E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Segoe UI" w:hAnsi="Segoe U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Segoe UI" w:hAnsi="Segoe U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180"/>
      <w:contextualSpacing/>
    </w:pPr>
    <w:rPr>
      <w:rFonts w:asciiTheme="majorHAnsi" w:eastAsiaTheme="majorEastAsia" w:hAnsiTheme="majorHAnsi" w:cstheme="majorBidi" w:ascii="Segoe UI" w:hAnsi="Segoe U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as.org.uk/disciplinary-meeting-letter-templates/disciplinary-meeting-letter-for-warning-template" TargetMode="External"/><Relationship Id="rId12" Type="http://schemas.openxmlformats.org/officeDocument/2006/relationships/hyperlink" Target="https://www.acas.org.uk/acas-code-of-practice-on-disciplinary-and-grievance-procedures/html" TargetMode="External"/><Relationship Id="rId13" Type="http://schemas.openxmlformats.org/officeDocument/2006/relationships/hyperlink" Target="https://www.nationalarchives.gov.uk/doc/open-government-licence/version/3/" TargetMode="External"/><Relationship Id="rId14" Type="http://schemas.openxmlformats.org/officeDocument/2006/relationships/hyperlink" Target="https://hr.adm.ai/guides/discipline-grievan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nationalarchives.gov.uk/doc/open-government-licence/version/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hearing invitation</dc:title>
  <dc:subject>ADM HR template library</dc:subject>
  <dc:creator>ADM HR — adapted from Acas</dc:creator>
  <cp:keywords>Acas, HR, letter,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